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9AD1" w14:textId="42DE5674" w:rsidR="001E2574" w:rsidRPr="008C3A21" w:rsidRDefault="00F63208" w:rsidP="00733072">
      <w:pPr>
        <w:pStyle w:val="Title"/>
        <w:shd w:val="clear" w:color="auto" w:fill="auto"/>
        <w:rPr>
          <w:color w:val="ED3B7B"/>
          <w:sz w:val="56"/>
          <w:szCs w:val="52"/>
        </w:rPr>
      </w:pPr>
      <w:r w:rsidRPr="008C3A21">
        <w:rPr>
          <w:color w:val="ED3B7B"/>
          <w:sz w:val="56"/>
          <w:szCs w:val="52"/>
        </w:rPr>
        <w:t>Alexandra M. Gueri</w:t>
      </w:r>
      <w:r w:rsidR="00733072" w:rsidRPr="008C3A21">
        <w:rPr>
          <w:color w:val="ED3B7B"/>
          <w:sz w:val="56"/>
          <w:szCs w:val="52"/>
        </w:rPr>
        <w:t>n</w:t>
      </w:r>
    </w:p>
    <w:p w14:paraId="091628A3" w14:textId="0642C898" w:rsidR="001E152D" w:rsidRPr="008C3A21" w:rsidRDefault="00F63208" w:rsidP="00733072">
      <w:pPr>
        <w:pStyle w:val="Title"/>
        <w:shd w:val="clear" w:color="auto" w:fill="auto"/>
        <w:rPr>
          <w:bCs/>
          <w:color w:val="595959" w:themeColor="text1" w:themeTint="A6"/>
          <w:spacing w:val="0"/>
          <w:kern w:val="0"/>
          <w:sz w:val="24"/>
          <w:szCs w:val="22"/>
        </w:rPr>
      </w:pPr>
      <w:r w:rsidRPr="008C3A21">
        <w:rPr>
          <w:bCs/>
          <w:color w:val="595959" w:themeColor="text1" w:themeTint="A6"/>
          <w:spacing w:val="0"/>
          <w:kern w:val="0"/>
          <w:sz w:val="24"/>
          <w:szCs w:val="22"/>
        </w:rPr>
        <w:t>Digital Learning Experience Designer | Workforce Training &amp; Multimedia Strategy</w:t>
      </w:r>
    </w:p>
    <w:p w14:paraId="248E1899" w14:textId="56E5DBB6" w:rsidR="001E2574" w:rsidRPr="008C3A21" w:rsidRDefault="001E152D" w:rsidP="004D1F49">
      <w:pPr>
        <w:pStyle w:val="Subtitle"/>
        <w:shd w:val="clear" w:color="auto" w:fill="F2F2F2" w:themeFill="background1" w:themeFillShade="F2"/>
        <w:spacing w:before="240"/>
        <w:rPr>
          <w:sz w:val="18"/>
          <w:szCs w:val="20"/>
        </w:rPr>
      </w:pPr>
      <w:r w:rsidRPr="008C3A21">
        <w:rPr>
          <w:color w:val="595959" w:themeColor="text1" w:themeTint="A6"/>
          <w:sz w:val="18"/>
          <w:szCs w:val="20"/>
        </w:rPr>
        <w:t>Greater Houston, TX</w:t>
      </w:r>
      <w:r w:rsidR="004032CC" w:rsidRPr="008C3A21">
        <w:rPr>
          <w:color w:val="595959" w:themeColor="text1" w:themeTint="A6"/>
          <w:sz w:val="18"/>
          <w:szCs w:val="20"/>
        </w:rPr>
        <w:t xml:space="preserve"> </w:t>
      </w:r>
      <w:r w:rsidRPr="008C3A21">
        <w:rPr>
          <w:color w:val="595959" w:themeColor="text1" w:themeTint="A6"/>
          <w:sz w:val="18"/>
          <w:szCs w:val="20"/>
        </w:rPr>
        <w:t xml:space="preserve">| Alexandra.M.Guerin@gmail.com | 281-772-1254 | Portfolio: </w:t>
      </w:r>
      <w:hyperlink r:id="rId12" w:history="1">
        <w:r w:rsidRPr="008C3A21">
          <w:rPr>
            <w:rStyle w:val="Hyperlink"/>
            <w:color w:val="595959" w:themeColor="text1" w:themeTint="A6"/>
            <w:sz w:val="18"/>
            <w:szCs w:val="20"/>
          </w:rPr>
          <w:t>aguerin-portfolio.com</w:t>
        </w:r>
      </w:hyperlink>
    </w:p>
    <w:p w14:paraId="711EF538" w14:textId="01763B10" w:rsidR="006D6779" w:rsidRPr="008C3A21" w:rsidRDefault="006D6779" w:rsidP="00733072">
      <w:pPr>
        <w:pStyle w:val="Heading1"/>
        <w:rPr>
          <w:rStyle w:val="Shade"/>
          <w:color w:val="4FBAD4"/>
          <w:sz w:val="28"/>
          <w:szCs w:val="28"/>
        </w:rPr>
      </w:pPr>
      <w:r w:rsidRPr="008C3A21">
        <w:rPr>
          <w:rStyle w:val="Shade"/>
          <w:color w:val="4FBAD4"/>
          <w:sz w:val="28"/>
          <w:szCs w:val="28"/>
          <w:shd w:val="clear" w:color="auto" w:fill="auto"/>
        </w:rPr>
        <w:t>Professional Summary</w:t>
      </w:r>
    </w:p>
    <w:p w14:paraId="2DFFE8A1" w14:textId="77777777" w:rsidR="003D15B2" w:rsidRPr="008C3A21" w:rsidRDefault="003D15B2" w:rsidP="003D15B2">
      <w:pPr>
        <w:spacing w:after="0" w:line="240" w:lineRule="auto"/>
        <w:rPr>
          <w:b/>
          <w:bCs/>
          <w:sz w:val="18"/>
          <w:szCs w:val="18"/>
        </w:rPr>
      </w:pPr>
      <w:r w:rsidRPr="008C3A21">
        <w:rPr>
          <w:sz w:val="18"/>
          <w:szCs w:val="18"/>
        </w:rPr>
        <w:t xml:space="preserve">Learning Experience Designer with 10+ years of experience supporting enterprise and industrial organizations through multimedia-driven workforce training solutions. Skilled at translating complex technical processes into </w:t>
      </w:r>
      <w:r w:rsidRPr="008C3A21">
        <w:rPr>
          <w:b/>
          <w:bCs/>
          <w:sz w:val="18"/>
          <w:szCs w:val="18"/>
        </w:rPr>
        <w:t>clear, engaging digital learning experiences that improve employee readiness, knowledge transfer, and operational consistency.</w:t>
      </w:r>
    </w:p>
    <w:p w14:paraId="00A41AB8" w14:textId="77777777" w:rsidR="003D15B2" w:rsidRPr="008C3A21" w:rsidRDefault="003D15B2" w:rsidP="003D15B2">
      <w:pPr>
        <w:spacing w:after="0" w:line="240" w:lineRule="auto"/>
        <w:rPr>
          <w:sz w:val="18"/>
          <w:szCs w:val="18"/>
        </w:rPr>
      </w:pPr>
    </w:p>
    <w:p w14:paraId="4D8C2FBF" w14:textId="77777777" w:rsidR="003D15B2" w:rsidRPr="008C3A21" w:rsidRDefault="003D15B2" w:rsidP="003D15B2">
      <w:pPr>
        <w:spacing w:after="0" w:line="240" w:lineRule="auto"/>
        <w:rPr>
          <w:sz w:val="18"/>
          <w:szCs w:val="18"/>
        </w:rPr>
      </w:pPr>
      <w:r w:rsidRPr="008C3A21">
        <w:rPr>
          <w:sz w:val="18"/>
          <w:szCs w:val="18"/>
        </w:rPr>
        <w:t xml:space="preserve">Background includes supporting </w:t>
      </w:r>
      <w:r w:rsidRPr="008C3A21">
        <w:rPr>
          <w:b/>
          <w:bCs/>
          <w:sz w:val="18"/>
          <w:szCs w:val="18"/>
        </w:rPr>
        <w:t>large-scale organizational initiatives such as system rollouts, product launches, safety communication campaigns, and onboarding modernization efforts.</w:t>
      </w:r>
      <w:r w:rsidRPr="008C3A21">
        <w:rPr>
          <w:sz w:val="18"/>
          <w:szCs w:val="18"/>
        </w:rPr>
        <w:t xml:space="preserve"> </w:t>
      </w:r>
      <w:proofErr w:type="gramStart"/>
      <w:r w:rsidRPr="008C3A21">
        <w:rPr>
          <w:sz w:val="18"/>
          <w:szCs w:val="18"/>
        </w:rPr>
        <w:t>Known</w:t>
      </w:r>
      <w:proofErr w:type="gramEnd"/>
      <w:r w:rsidRPr="008C3A21">
        <w:rPr>
          <w:sz w:val="18"/>
          <w:szCs w:val="18"/>
        </w:rPr>
        <w:t xml:space="preserve"> for strong stakeholder collaboration, rapid content development, and ability to adapt learning strategies within evolving business environments.</w:t>
      </w:r>
    </w:p>
    <w:p w14:paraId="037ED891" w14:textId="77777777" w:rsidR="003D15B2" w:rsidRPr="008C3A21" w:rsidRDefault="003D15B2" w:rsidP="003D15B2">
      <w:pPr>
        <w:spacing w:after="0" w:line="240" w:lineRule="auto"/>
        <w:rPr>
          <w:sz w:val="18"/>
          <w:szCs w:val="18"/>
        </w:rPr>
      </w:pPr>
    </w:p>
    <w:p w14:paraId="1C20E566" w14:textId="68EA86B1" w:rsidR="00824162" w:rsidRPr="008C3A21" w:rsidRDefault="003D15B2" w:rsidP="00824162">
      <w:pPr>
        <w:spacing w:after="0" w:line="240" w:lineRule="auto"/>
        <w:rPr>
          <w:sz w:val="18"/>
          <w:szCs w:val="18"/>
        </w:rPr>
      </w:pPr>
      <w:r w:rsidRPr="008C3A21">
        <w:rPr>
          <w:sz w:val="18"/>
          <w:szCs w:val="18"/>
        </w:rPr>
        <w:t xml:space="preserve">Seeking a long-term remote opportunity contributing to </w:t>
      </w:r>
      <w:r w:rsidRPr="008C3A21">
        <w:rPr>
          <w:b/>
          <w:bCs/>
          <w:sz w:val="18"/>
          <w:szCs w:val="18"/>
        </w:rPr>
        <w:t>workforce capability development, learning modernization, and performance enablement initiatives.</w:t>
      </w:r>
    </w:p>
    <w:p w14:paraId="27411145" w14:textId="6371CDA9" w:rsidR="001E152D" w:rsidRPr="008C3A21" w:rsidRDefault="001E152D" w:rsidP="00733072">
      <w:pPr>
        <w:pStyle w:val="Heading1"/>
        <w:rPr>
          <w:rStyle w:val="Shade"/>
          <w:color w:val="4FBAD4"/>
          <w:sz w:val="28"/>
          <w:szCs w:val="28"/>
        </w:rPr>
      </w:pPr>
      <w:r w:rsidRPr="008C3A21">
        <w:rPr>
          <w:rStyle w:val="Shade"/>
          <w:color w:val="4FBAD4"/>
          <w:sz w:val="28"/>
          <w:szCs w:val="28"/>
          <w:shd w:val="clear" w:color="auto" w:fill="auto"/>
        </w:rPr>
        <w:t xml:space="preserve">Core </w:t>
      </w:r>
      <w:r w:rsidR="006D6779" w:rsidRPr="008C3A21">
        <w:rPr>
          <w:rStyle w:val="Shade"/>
          <w:color w:val="4FBAD4"/>
          <w:sz w:val="28"/>
          <w:szCs w:val="28"/>
          <w:shd w:val="clear" w:color="auto" w:fill="auto"/>
        </w:rPr>
        <w:t>Competencies</w:t>
      </w:r>
    </w:p>
    <w:p w14:paraId="705C6ACD" w14:textId="77777777" w:rsidR="001E152D" w:rsidRPr="008C3A21" w:rsidRDefault="001E152D" w:rsidP="00733072">
      <w:pPr>
        <w:spacing w:after="0" w:line="240" w:lineRule="auto"/>
        <w:rPr>
          <w:sz w:val="18"/>
          <w:szCs w:val="20"/>
        </w:rPr>
        <w:sectPr w:rsidR="001E152D" w:rsidRPr="008C3A21" w:rsidSect="001E152D">
          <w:type w:val="continuous"/>
          <w:pgSz w:w="12240" w:h="15840" w:code="1"/>
          <w:pgMar w:top="720" w:right="360" w:bottom="720" w:left="1080" w:header="576" w:footer="720" w:gutter="0"/>
          <w:cols w:space="720"/>
          <w:titlePg/>
          <w:docGrid w:linePitch="360"/>
        </w:sectPr>
      </w:pPr>
    </w:p>
    <w:p w14:paraId="06405BE3" w14:textId="77777777" w:rsidR="001E152D" w:rsidRPr="008C3A21" w:rsidRDefault="001E152D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Workforce Learning &amp; Performance</w:t>
      </w:r>
    </w:p>
    <w:p w14:paraId="6E11C271" w14:textId="77777777" w:rsidR="001E152D" w:rsidRPr="008C3A21" w:rsidRDefault="001E152D" w:rsidP="00733072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Technical training design for frontline &amp; field teams</w:t>
      </w:r>
    </w:p>
    <w:p w14:paraId="3A5D64FC" w14:textId="77777777" w:rsidR="001E152D" w:rsidRPr="008C3A21" w:rsidRDefault="001E152D" w:rsidP="00733072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Safety / compliance training (OSHA-aligned environments)</w:t>
      </w:r>
    </w:p>
    <w:p w14:paraId="2BF7DBCF" w14:textId="77777777" w:rsidR="001E152D" w:rsidRPr="008C3A21" w:rsidRDefault="001E152D" w:rsidP="00733072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Operational process enablement</w:t>
      </w:r>
    </w:p>
    <w:p w14:paraId="5EB859E2" w14:textId="77777777" w:rsidR="001E152D" w:rsidRPr="008C3A21" w:rsidRDefault="001E152D" w:rsidP="00733072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Skills-based workforce development</w:t>
      </w:r>
    </w:p>
    <w:p w14:paraId="7E3B69E0" w14:textId="2258AFC6" w:rsidR="00733072" w:rsidRPr="008C3A21" w:rsidRDefault="001E152D" w:rsidP="00733072">
      <w:pPr>
        <w:pStyle w:val="ListParagraph"/>
        <w:numPr>
          <w:ilvl w:val="0"/>
          <w:numId w:val="13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Learning analytics &amp; performance measurement</w:t>
      </w:r>
    </w:p>
    <w:p w14:paraId="49591023" w14:textId="77777777" w:rsidR="001E152D" w:rsidRPr="008C3A21" w:rsidRDefault="001E152D" w:rsidP="00733072">
      <w:pPr>
        <w:spacing w:after="0" w:line="240" w:lineRule="auto"/>
        <w:rPr>
          <w:sz w:val="18"/>
          <w:szCs w:val="20"/>
        </w:rPr>
      </w:pPr>
    </w:p>
    <w:p w14:paraId="78CCEB40" w14:textId="77777777" w:rsidR="001E152D" w:rsidRPr="008C3A21" w:rsidRDefault="001E152D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Digital Learning Technology</w:t>
      </w:r>
    </w:p>
    <w:p w14:paraId="6869DC9A" w14:textId="77777777" w:rsidR="001E152D" w:rsidRPr="008C3A21" w:rsidRDefault="001E152D" w:rsidP="00733072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AI-assisted content creation workflows</w:t>
      </w:r>
    </w:p>
    <w:p w14:paraId="4040DE94" w14:textId="77777777" w:rsidR="001E152D" w:rsidRPr="008C3A21" w:rsidRDefault="001E152D" w:rsidP="00733072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Rapid eLearning production at enterprise scale</w:t>
      </w:r>
    </w:p>
    <w:p w14:paraId="13A7BD6B" w14:textId="77777777" w:rsidR="001E152D" w:rsidRPr="008C3A21" w:rsidRDefault="001E152D" w:rsidP="00733072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LMS / LXP implementation support</w:t>
      </w:r>
    </w:p>
    <w:p w14:paraId="251A69B2" w14:textId="77777777" w:rsidR="001E152D" w:rsidRPr="008C3A21" w:rsidRDefault="001E152D" w:rsidP="00733072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 xml:space="preserve">SCORM / </w:t>
      </w:r>
      <w:proofErr w:type="spellStart"/>
      <w:r w:rsidRPr="008C3A21">
        <w:rPr>
          <w:sz w:val="18"/>
          <w:szCs w:val="20"/>
        </w:rPr>
        <w:t>xAPI</w:t>
      </w:r>
      <w:proofErr w:type="spellEnd"/>
      <w:r w:rsidRPr="008C3A21">
        <w:rPr>
          <w:sz w:val="18"/>
          <w:szCs w:val="20"/>
        </w:rPr>
        <w:t xml:space="preserve"> deployment strategy</w:t>
      </w:r>
    </w:p>
    <w:p w14:paraId="5BB730CE" w14:textId="38C2452E" w:rsidR="00DC7FE0" w:rsidRPr="008C3A21" w:rsidRDefault="001E152D" w:rsidP="00DC7FE0">
      <w:pPr>
        <w:pStyle w:val="ListParagraph"/>
        <w:numPr>
          <w:ilvl w:val="0"/>
          <w:numId w:val="14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Learning program lifecycle management</w:t>
      </w:r>
    </w:p>
    <w:p w14:paraId="2283EA1A" w14:textId="77777777" w:rsidR="001E152D" w:rsidRPr="008C3A21" w:rsidRDefault="001E152D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Industrial &amp; Enterprise Communication Design</w:t>
      </w:r>
    </w:p>
    <w:p w14:paraId="39B8B239" w14:textId="77777777" w:rsidR="001E152D" w:rsidRPr="008C3A21" w:rsidRDefault="001E152D" w:rsidP="00733072">
      <w:pPr>
        <w:pStyle w:val="ListParagraph"/>
        <w:numPr>
          <w:ilvl w:val="0"/>
          <w:numId w:val="15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Technical visual storytelling</w:t>
      </w:r>
    </w:p>
    <w:p w14:paraId="7D9A192F" w14:textId="77777777" w:rsidR="001E152D" w:rsidRPr="008C3A21" w:rsidRDefault="001E152D" w:rsidP="00733072">
      <w:pPr>
        <w:pStyle w:val="ListParagraph"/>
        <w:numPr>
          <w:ilvl w:val="0"/>
          <w:numId w:val="15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Job aids, SOP visualization &amp; microlearning</w:t>
      </w:r>
    </w:p>
    <w:p w14:paraId="1BC5102B" w14:textId="77777777" w:rsidR="001E152D" w:rsidRPr="008C3A21" w:rsidRDefault="001E152D" w:rsidP="00733072">
      <w:pPr>
        <w:pStyle w:val="ListParagraph"/>
        <w:numPr>
          <w:ilvl w:val="0"/>
          <w:numId w:val="15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Simulation-based learning design</w:t>
      </w:r>
    </w:p>
    <w:p w14:paraId="720A1144" w14:textId="77777777" w:rsidR="001E152D" w:rsidRPr="008C3A21" w:rsidRDefault="001E152D" w:rsidP="00733072">
      <w:pPr>
        <w:pStyle w:val="ListParagraph"/>
        <w:numPr>
          <w:ilvl w:val="0"/>
          <w:numId w:val="15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Scenario-based performance training</w:t>
      </w:r>
    </w:p>
    <w:p w14:paraId="07456122" w14:textId="77777777" w:rsidR="001E152D" w:rsidRPr="008C3A21" w:rsidRDefault="001E152D" w:rsidP="00733072">
      <w:pPr>
        <w:pStyle w:val="ListParagraph"/>
        <w:numPr>
          <w:ilvl w:val="0"/>
          <w:numId w:val="15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Change management learning campaigns</w:t>
      </w:r>
    </w:p>
    <w:p w14:paraId="0BABF98C" w14:textId="77777777" w:rsidR="001E152D" w:rsidRPr="008C3A21" w:rsidRDefault="001E152D" w:rsidP="00733072">
      <w:pPr>
        <w:spacing w:after="0" w:line="240" w:lineRule="auto"/>
        <w:rPr>
          <w:sz w:val="18"/>
          <w:szCs w:val="20"/>
        </w:rPr>
      </w:pPr>
    </w:p>
    <w:p w14:paraId="5F911911" w14:textId="77777777" w:rsidR="001E152D" w:rsidRPr="008C3A21" w:rsidRDefault="001E152D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Remote Collaboration &amp; Delivery</w:t>
      </w:r>
    </w:p>
    <w:p w14:paraId="5C7B9DA1" w14:textId="77777777" w:rsidR="001E152D" w:rsidRPr="008C3A21" w:rsidRDefault="001E152D" w:rsidP="00733072">
      <w:pPr>
        <w:pStyle w:val="ListParagraph"/>
        <w:numPr>
          <w:ilvl w:val="0"/>
          <w:numId w:val="16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Agile project execution in distributed teams</w:t>
      </w:r>
    </w:p>
    <w:p w14:paraId="0D5B1E61" w14:textId="77777777" w:rsidR="001E152D" w:rsidRPr="008C3A21" w:rsidRDefault="001E152D" w:rsidP="00733072">
      <w:pPr>
        <w:pStyle w:val="ListParagraph"/>
        <w:numPr>
          <w:ilvl w:val="0"/>
          <w:numId w:val="16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SME facilitation &amp; stakeholder alignment</w:t>
      </w:r>
    </w:p>
    <w:p w14:paraId="7BA9307F" w14:textId="77777777" w:rsidR="001E152D" w:rsidRPr="008C3A21" w:rsidRDefault="001E152D" w:rsidP="00733072">
      <w:pPr>
        <w:pStyle w:val="ListParagraph"/>
        <w:numPr>
          <w:ilvl w:val="0"/>
          <w:numId w:val="16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Cross-functional enterprise communication</w:t>
      </w:r>
    </w:p>
    <w:p w14:paraId="24B6805C" w14:textId="77777777" w:rsidR="001E152D" w:rsidRPr="008C3A21" w:rsidRDefault="001E152D" w:rsidP="00733072">
      <w:pPr>
        <w:pStyle w:val="ListParagraph"/>
        <w:numPr>
          <w:ilvl w:val="0"/>
          <w:numId w:val="16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Vendor / contractor coordination</w:t>
      </w:r>
    </w:p>
    <w:p w14:paraId="7AE7C91B" w14:textId="77777777" w:rsidR="001E152D" w:rsidRPr="008C3A21" w:rsidRDefault="001E152D" w:rsidP="00733072">
      <w:pPr>
        <w:pStyle w:val="ListParagraph"/>
        <w:numPr>
          <w:ilvl w:val="0"/>
          <w:numId w:val="16"/>
        </w:num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Global workforce training delivery</w:t>
      </w:r>
    </w:p>
    <w:p w14:paraId="247A3309" w14:textId="7B7F353B" w:rsidR="00733072" w:rsidRPr="008C3A21" w:rsidRDefault="00733072" w:rsidP="00733072">
      <w:pPr>
        <w:spacing w:after="0" w:line="240" w:lineRule="auto"/>
        <w:rPr>
          <w:sz w:val="18"/>
          <w:szCs w:val="20"/>
        </w:rPr>
        <w:sectPr w:rsidR="00733072" w:rsidRPr="008C3A21" w:rsidSect="00733072">
          <w:type w:val="continuous"/>
          <w:pgSz w:w="12240" w:h="15840" w:code="1"/>
          <w:pgMar w:top="720" w:right="360" w:bottom="720" w:left="1080" w:header="576" w:footer="720" w:gutter="0"/>
          <w:cols w:num="2" w:space="720"/>
          <w:titlePg/>
          <w:docGrid w:linePitch="360"/>
        </w:sectPr>
      </w:pPr>
    </w:p>
    <w:p w14:paraId="692F526F" w14:textId="1CA12067" w:rsidR="001E2574" w:rsidRPr="008C3A21" w:rsidRDefault="001E152D" w:rsidP="00733072">
      <w:pPr>
        <w:pStyle w:val="Heading1"/>
        <w:rPr>
          <w:rStyle w:val="Shade"/>
          <w:color w:val="4FBAD4"/>
          <w:sz w:val="28"/>
          <w:szCs w:val="28"/>
        </w:rPr>
      </w:pPr>
      <w:r w:rsidRPr="008C3A21">
        <w:rPr>
          <w:rStyle w:val="Shade"/>
          <w:color w:val="4FBAD4"/>
          <w:sz w:val="28"/>
          <w:szCs w:val="28"/>
          <w:shd w:val="clear" w:color="auto" w:fill="auto"/>
        </w:rPr>
        <w:t>Professional Experience</w:t>
      </w:r>
    </w:p>
    <w:p w14:paraId="1BA0F893" w14:textId="77777777" w:rsidR="00701DCC" w:rsidRPr="008C3A21" w:rsidRDefault="00701DCC" w:rsidP="00733072">
      <w:pPr>
        <w:pStyle w:val="Heading3"/>
        <w:spacing w:after="0"/>
        <w:rPr>
          <w:rStyle w:val="Bold"/>
          <w:b/>
          <w:bCs/>
          <w:sz w:val="18"/>
          <w:szCs w:val="20"/>
        </w:rPr>
      </w:pPr>
      <w:r w:rsidRPr="008C3A21">
        <w:rPr>
          <w:rStyle w:val="Bold"/>
          <w:b/>
          <w:bCs/>
          <w:sz w:val="18"/>
          <w:szCs w:val="20"/>
        </w:rPr>
        <w:t>Learning Multimedia Designer (Remote)</w:t>
      </w:r>
    </w:p>
    <w:p w14:paraId="1FEBEB4B" w14:textId="096CEE3B" w:rsidR="00701DCC" w:rsidRPr="008C3A21" w:rsidRDefault="00701DCC" w:rsidP="00733072">
      <w:pPr>
        <w:pStyle w:val="Heading3"/>
        <w:spacing w:after="0"/>
        <w:rPr>
          <w:rStyle w:val="Bold"/>
          <w:sz w:val="18"/>
          <w:szCs w:val="20"/>
        </w:rPr>
      </w:pPr>
      <w:r w:rsidRPr="008C3A21">
        <w:rPr>
          <w:rStyle w:val="Bold"/>
          <w:sz w:val="18"/>
          <w:szCs w:val="20"/>
        </w:rPr>
        <w:t>Waste Management — Houston, TX</w:t>
      </w:r>
    </w:p>
    <w:p w14:paraId="6E9497DA" w14:textId="0D9CBAA7" w:rsidR="00701DCC" w:rsidRPr="008C3A21" w:rsidRDefault="00950479" w:rsidP="00733072">
      <w:pPr>
        <w:pStyle w:val="Heading2"/>
        <w:spacing w:line="240" w:lineRule="auto"/>
        <w:rPr>
          <w:rStyle w:val="Bold"/>
          <w:sz w:val="18"/>
          <w:szCs w:val="24"/>
        </w:rPr>
      </w:pPr>
      <w:r w:rsidRPr="008C3A21">
        <w:rPr>
          <w:sz w:val="18"/>
          <w:szCs w:val="24"/>
        </w:rPr>
        <w:t xml:space="preserve">Sep </w:t>
      </w:r>
      <w:r w:rsidR="00701DCC" w:rsidRPr="008C3A21">
        <w:rPr>
          <w:sz w:val="18"/>
          <w:szCs w:val="24"/>
        </w:rPr>
        <w:t xml:space="preserve">2023 – </w:t>
      </w:r>
      <w:r w:rsidRPr="008C3A21">
        <w:rPr>
          <w:sz w:val="18"/>
          <w:szCs w:val="24"/>
        </w:rPr>
        <w:t xml:space="preserve">Jan </w:t>
      </w:r>
      <w:r w:rsidR="00701DCC" w:rsidRPr="008C3A21">
        <w:rPr>
          <w:sz w:val="18"/>
          <w:szCs w:val="24"/>
        </w:rPr>
        <w:t>202</w:t>
      </w:r>
      <w:r w:rsidR="006D6779" w:rsidRPr="008C3A21">
        <w:rPr>
          <w:sz w:val="18"/>
          <w:szCs w:val="24"/>
        </w:rPr>
        <w:t>6</w:t>
      </w:r>
    </w:p>
    <w:p w14:paraId="6EB29854" w14:textId="0AFDFE9C" w:rsidR="003D15B2" w:rsidRPr="008C3A21" w:rsidRDefault="003D15B2" w:rsidP="003D15B2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Designed enterprise digital learning modules supporting workforce onboarding, safety awareness, and operational process understanding </w:t>
      </w:r>
    </w:p>
    <w:p w14:paraId="548AC593" w14:textId="2D4EA9B2" w:rsidR="003D15B2" w:rsidRPr="008C3A21" w:rsidRDefault="003D15B2" w:rsidP="003D15B2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Developed multimedia learning assets that increased learner interaction and improved training clarity across distributed employee groups </w:t>
      </w:r>
    </w:p>
    <w:p w14:paraId="6ACA8A5E" w14:textId="2FF7F807" w:rsidR="003D15B2" w:rsidRPr="008C3A21" w:rsidRDefault="003D15B2" w:rsidP="003D15B2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Streamlined development workflows enabling faster delivery of learning initiatives aligned with evolving organizational priorities </w:t>
      </w:r>
    </w:p>
    <w:p w14:paraId="772B1C8D" w14:textId="47827224" w:rsidR="003D15B2" w:rsidRPr="008C3A21" w:rsidRDefault="003D15B2" w:rsidP="003D15B2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Partnered with subject matter experts and training leaders to translate technical procedures into structured digital learning experiences </w:t>
      </w:r>
    </w:p>
    <w:p w14:paraId="451DFBDB" w14:textId="0BA9316F" w:rsidR="00DC7FE0" w:rsidRPr="008C3A21" w:rsidRDefault="003D15B2" w:rsidP="008C3A21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8C3A21">
        <w:rPr>
          <w:sz w:val="18"/>
          <w:szCs w:val="20"/>
        </w:rPr>
        <w:t>Produced accessible learning solutions aligned with WCAG and Section 508 standards</w:t>
      </w:r>
    </w:p>
    <w:p w14:paraId="305EA548" w14:textId="0D3AEA1B" w:rsidR="00F63208" w:rsidRPr="008C3A21" w:rsidRDefault="003D15B2" w:rsidP="00733072">
      <w:pPr>
        <w:pStyle w:val="Heading3"/>
        <w:spacing w:after="0"/>
        <w:rPr>
          <w:rStyle w:val="Bold"/>
          <w:b/>
          <w:bCs/>
          <w:sz w:val="18"/>
          <w:szCs w:val="20"/>
        </w:rPr>
      </w:pPr>
      <w:r w:rsidRPr="008C3A21">
        <w:rPr>
          <w:sz w:val="18"/>
          <w:szCs w:val="20"/>
        </w:rPr>
        <w:t>Digital Learning &amp; Visual Communication Consultant (Contract)</w:t>
      </w:r>
    </w:p>
    <w:p w14:paraId="39F79692" w14:textId="0B69BECD" w:rsidR="00F63208" w:rsidRPr="008C3A21" w:rsidRDefault="00F63208" w:rsidP="00733072">
      <w:pPr>
        <w:pStyle w:val="Heading3"/>
        <w:spacing w:after="0"/>
        <w:rPr>
          <w:rStyle w:val="Bold"/>
          <w:sz w:val="18"/>
          <w:szCs w:val="20"/>
        </w:rPr>
      </w:pPr>
      <w:r w:rsidRPr="008C3A21">
        <w:rPr>
          <w:b w:val="0"/>
          <w:bCs w:val="0"/>
          <w:sz w:val="18"/>
          <w:szCs w:val="20"/>
        </w:rPr>
        <w:t>Various Enterprise &amp; Industrial Clients — Remote</w:t>
      </w:r>
    </w:p>
    <w:p w14:paraId="6A582997" w14:textId="35174C35" w:rsidR="00F63208" w:rsidRPr="008C3A21" w:rsidRDefault="00950479" w:rsidP="00733072">
      <w:pPr>
        <w:pStyle w:val="Heading2"/>
        <w:spacing w:line="240" w:lineRule="auto"/>
        <w:rPr>
          <w:rStyle w:val="Bold"/>
          <w:sz w:val="18"/>
          <w:szCs w:val="24"/>
        </w:rPr>
      </w:pPr>
      <w:r w:rsidRPr="008C3A21">
        <w:rPr>
          <w:sz w:val="18"/>
          <w:szCs w:val="24"/>
        </w:rPr>
        <w:t xml:space="preserve">Sep </w:t>
      </w:r>
      <w:r w:rsidR="006D6779" w:rsidRPr="008C3A21">
        <w:rPr>
          <w:sz w:val="18"/>
          <w:szCs w:val="24"/>
        </w:rPr>
        <w:t>20</w:t>
      </w:r>
      <w:r w:rsidRPr="008C3A21">
        <w:rPr>
          <w:sz w:val="18"/>
          <w:szCs w:val="24"/>
        </w:rPr>
        <w:t>21</w:t>
      </w:r>
      <w:r w:rsidR="006D6779" w:rsidRPr="008C3A21">
        <w:rPr>
          <w:sz w:val="18"/>
          <w:szCs w:val="24"/>
        </w:rPr>
        <w:t xml:space="preserve"> – </w:t>
      </w:r>
      <w:r w:rsidRPr="008C3A21">
        <w:rPr>
          <w:sz w:val="18"/>
          <w:szCs w:val="24"/>
        </w:rPr>
        <w:t xml:space="preserve">Sep </w:t>
      </w:r>
      <w:r w:rsidR="006D6779" w:rsidRPr="008C3A21">
        <w:rPr>
          <w:sz w:val="18"/>
          <w:szCs w:val="24"/>
        </w:rPr>
        <w:t>2023</w:t>
      </w:r>
    </w:p>
    <w:p w14:paraId="6D1C235F" w14:textId="77777777" w:rsidR="00F63208" w:rsidRPr="008C3A21" w:rsidRDefault="00F63208" w:rsidP="00733072">
      <w:pPr>
        <w:spacing w:after="0"/>
        <w:rPr>
          <w:sz w:val="18"/>
          <w:szCs w:val="20"/>
        </w:rPr>
      </w:pPr>
      <w:r w:rsidRPr="008C3A21">
        <w:rPr>
          <w:sz w:val="18"/>
          <w:szCs w:val="20"/>
        </w:rPr>
        <w:t>Key Clients: Sage Communications · Vibrent Health · L&amp;T Technology Services</w:t>
      </w:r>
    </w:p>
    <w:p w14:paraId="0414BFCD" w14:textId="7A07D88A" w:rsidR="00824162" w:rsidRPr="008C3A21" w:rsidRDefault="00824162" w:rsidP="00824162">
      <w:pPr>
        <w:pStyle w:val="ListParagraph"/>
        <w:numPr>
          <w:ilvl w:val="0"/>
          <w:numId w:val="24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Supported short-term learning and communication initiatives tied to organizational transitions, technology adoption efforts, and workforce education needs </w:t>
      </w:r>
    </w:p>
    <w:p w14:paraId="2B0ED791" w14:textId="505A40D3" w:rsidR="00824162" w:rsidRPr="008C3A21" w:rsidRDefault="00824162" w:rsidP="00824162">
      <w:pPr>
        <w:pStyle w:val="ListParagraph"/>
        <w:numPr>
          <w:ilvl w:val="0"/>
          <w:numId w:val="24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Designed UX-informed visual learning materials, motion graphics, and technical communication assets </w:t>
      </w:r>
    </w:p>
    <w:p w14:paraId="7370A313" w14:textId="69D14F94" w:rsidR="00824162" w:rsidRPr="008C3A21" w:rsidRDefault="00824162" w:rsidP="00824162">
      <w:pPr>
        <w:pStyle w:val="ListParagraph"/>
        <w:numPr>
          <w:ilvl w:val="0"/>
          <w:numId w:val="24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Contributed to rapid project cycles requiring independent execution and remote stakeholder coordination </w:t>
      </w:r>
    </w:p>
    <w:p w14:paraId="44F6E52C" w14:textId="25E1C4CD" w:rsidR="00F63208" w:rsidRPr="008C3A21" w:rsidRDefault="00824162" w:rsidP="00824162">
      <w:pPr>
        <w:pStyle w:val="ListParagraph"/>
        <w:numPr>
          <w:ilvl w:val="0"/>
          <w:numId w:val="24"/>
        </w:numPr>
        <w:rPr>
          <w:sz w:val="18"/>
          <w:szCs w:val="20"/>
        </w:rPr>
      </w:pPr>
      <w:r w:rsidRPr="008C3A21">
        <w:rPr>
          <w:sz w:val="18"/>
          <w:szCs w:val="20"/>
        </w:rPr>
        <w:t>Delivered structured design solutions</w:t>
      </w:r>
      <w:r w:rsidR="008C3A21" w:rsidRPr="008C3A21">
        <w:rPr>
          <w:sz w:val="18"/>
          <w:szCs w:val="20"/>
        </w:rPr>
        <w:t>,</w:t>
      </w:r>
      <w:r w:rsidRPr="008C3A21">
        <w:rPr>
          <w:sz w:val="18"/>
          <w:szCs w:val="20"/>
        </w:rPr>
        <w:t xml:space="preserve"> helping teams communicate complex concepts to internal and external audiences</w:t>
      </w:r>
      <w:r w:rsidR="00F63208" w:rsidRPr="008C3A21">
        <w:rPr>
          <w:sz w:val="18"/>
          <w:szCs w:val="20"/>
        </w:rPr>
        <w:t xml:space="preserve"> </w:t>
      </w:r>
    </w:p>
    <w:p w14:paraId="7CAD3344" w14:textId="2A3FC37B" w:rsidR="007D1400" w:rsidRPr="008C3A21" w:rsidRDefault="008A0CA0" w:rsidP="00733072">
      <w:pPr>
        <w:pStyle w:val="Heading3"/>
        <w:spacing w:after="0"/>
        <w:rPr>
          <w:rStyle w:val="Bold"/>
          <w:b/>
          <w:bCs/>
          <w:sz w:val="18"/>
          <w:szCs w:val="20"/>
        </w:rPr>
      </w:pPr>
      <w:r w:rsidRPr="008C3A21">
        <w:rPr>
          <w:sz w:val="18"/>
          <w:szCs w:val="20"/>
        </w:rPr>
        <w:lastRenderedPageBreak/>
        <w:t>Multimedia</w:t>
      </w:r>
      <w:r w:rsidR="007D1400" w:rsidRPr="008C3A21">
        <w:rPr>
          <w:sz w:val="18"/>
          <w:szCs w:val="20"/>
        </w:rPr>
        <w:t xml:space="preserve"> Designer (Remote)</w:t>
      </w:r>
    </w:p>
    <w:p w14:paraId="1B94A028" w14:textId="2F52CFBF" w:rsidR="007D1400" w:rsidRPr="008C3A21" w:rsidRDefault="007D1400" w:rsidP="00733072">
      <w:pPr>
        <w:pStyle w:val="Heading3"/>
        <w:spacing w:after="0"/>
        <w:rPr>
          <w:rStyle w:val="Bold"/>
          <w:sz w:val="18"/>
          <w:szCs w:val="20"/>
        </w:rPr>
      </w:pPr>
      <w:r w:rsidRPr="008C3A21">
        <w:rPr>
          <w:rStyle w:val="Bold"/>
          <w:sz w:val="18"/>
          <w:szCs w:val="20"/>
        </w:rPr>
        <w:t>Kraton Corporation — Houston, TX</w:t>
      </w:r>
    </w:p>
    <w:p w14:paraId="2FD0DA1A" w14:textId="1C98805C" w:rsidR="007D1400" w:rsidRPr="008C3A21" w:rsidRDefault="00950479" w:rsidP="00733072">
      <w:pPr>
        <w:pStyle w:val="Heading2"/>
        <w:spacing w:line="240" w:lineRule="auto"/>
        <w:rPr>
          <w:rStyle w:val="Bold"/>
          <w:sz w:val="18"/>
          <w:szCs w:val="24"/>
        </w:rPr>
      </w:pPr>
      <w:r w:rsidRPr="008C3A21">
        <w:rPr>
          <w:sz w:val="18"/>
          <w:szCs w:val="24"/>
        </w:rPr>
        <w:t xml:space="preserve">Dec </w:t>
      </w:r>
      <w:r w:rsidR="006D6779" w:rsidRPr="008C3A21">
        <w:rPr>
          <w:sz w:val="18"/>
          <w:szCs w:val="24"/>
        </w:rPr>
        <w:t xml:space="preserve">2020 – </w:t>
      </w:r>
      <w:r w:rsidRPr="008C3A21">
        <w:rPr>
          <w:sz w:val="18"/>
          <w:szCs w:val="24"/>
        </w:rPr>
        <w:t xml:space="preserve">Sep </w:t>
      </w:r>
      <w:r w:rsidR="006D6779" w:rsidRPr="008C3A21">
        <w:rPr>
          <w:sz w:val="18"/>
          <w:szCs w:val="24"/>
        </w:rPr>
        <w:t>2021</w:t>
      </w:r>
    </w:p>
    <w:p w14:paraId="1C1E5B47" w14:textId="4C4EFB36" w:rsidR="003D15B2" w:rsidRPr="008C3A21" w:rsidRDefault="003D15B2" w:rsidP="003D15B2">
      <w:pPr>
        <w:pStyle w:val="ListParagraph"/>
        <w:numPr>
          <w:ilvl w:val="0"/>
          <w:numId w:val="20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Produced digital communication and training-support content for global chemical manufacturing initiatives </w:t>
      </w:r>
    </w:p>
    <w:p w14:paraId="53A079C0" w14:textId="1E988E56" w:rsidR="003D15B2" w:rsidRPr="008C3A21" w:rsidRDefault="003D15B2" w:rsidP="003D15B2">
      <w:pPr>
        <w:pStyle w:val="ListParagraph"/>
        <w:numPr>
          <w:ilvl w:val="0"/>
          <w:numId w:val="20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Collaborated with marketing and technical teams to ensure visual messaging aligned with product positioning and workforce communication goals </w:t>
      </w:r>
    </w:p>
    <w:p w14:paraId="2CF1BB66" w14:textId="36A71892" w:rsidR="007D1400" w:rsidRPr="008C3A21" w:rsidRDefault="003D15B2" w:rsidP="003D15B2">
      <w:pPr>
        <w:pStyle w:val="ListParagraph"/>
        <w:numPr>
          <w:ilvl w:val="0"/>
          <w:numId w:val="20"/>
        </w:numPr>
        <w:rPr>
          <w:sz w:val="18"/>
          <w:szCs w:val="20"/>
        </w:rPr>
      </w:pPr>
      <w:r w:rsidRPr="008C3A21">
        <w:rPr>
          <w:sz w:val="18"/>
          <w:szCs w:val="20"/>
        </w:rPr>
        <w:t>Supported campaign optimization efforts through iterative design improvements and user experience adjustments</w:t>
      </w:r>
      <w:r w:rsidR="007D1400" w:rsidRPr="008C3A21">
        <w:rPr>
          <w:sz w:val="18"/>
          <w:szCs w:val="20"/>
        </w:rPr>
        <w:t xml:space="preserve"> </w:t>
      </w:r>
    </w:p>
    <w:p w14:paraId="3AA620DB" w14:textId="733BE964" w:rsidR="007D1400" w:rsidRPr="008C3A21" w:rsidRDefault="007D1400" w:rsidP="00733072">
      <w:pPr>
        <w:pStyle w:val="Heading3"/>
        <w:spacing w:after="0"/>
        <w:rPr>
          <w:rStyle w:val="Bold"/>
          <w:b/>
          <w:bCs/>
          <w:sz w:val="18"/>
          <w:szCs w:val="20"/>
        </w:rPr>
      </w:pPr>
      <w:r w:rsidRPr="008C3A21">
        <w:rPr>
          <w:sz w:val="18"/>
          <w:szCs w:val="20"/>
        </w:rPr>
        <w:t>UI/UX Designer &amp; Web Animator</w:t>
      </w:r>
    </w:p>
    <w:p w14:paraId="124752F8" w14:textId="73909FA4" w:rsidR="007D1400" w:rsidRPr="008C3A21" w:rsidRDefault="007D1400" w:rsidP="00733072">
      <w:pPr>
        <w:pStyle w:val="Heading3"/>
        <w:spacing w:after="0"/>
        <w:rPr>
          <w:rStyle w:val="Bold"/>
          <w:sz w:val="18"/>
          <w:szCs w:val="20"/>
        </w:rPr>
      </w:pPr>
      <w:r w:rsidRPr="008C3A21">
        <w:rPr>
          <w:rStyle w:val="Bold"/>
          <w:sz w:val="18"/>
          <w:szCs w:val="20"/>
        </w:rPr>
        <w:t>Tata Consultancy Services — Dallas, TX</w:t>
      </w:r>
    </w:p>
    <w:p w14:paraId="5546ACAA" w14:textId="0AF209F4" w:rsidR="007D1400" w:rsidRPr="008C3A21" w:rsidRDefault="00950479" w:rsidP="00733072">
      <w:pPr>
        <w:pStyle w:val="Heading2"/>
        <w:spacing w:line="240" w:lineRule="auto"/>
        <w:rPr>
          <w:rStyle w:val="Bold"/>
          <w:sz w:val="18"/>
          <w:szCs w:val="24"/>
        </w:rPr>
      </w:pPr>
      <w:r w:rsidRPr="008C3A21">
        <w:rPr>
          <w:sz w:val="18"/>
          <w:szCs w:val="24"/>
        </w:rPr>
        <w:t xml:space="preserve">Jul </w:t>
      </w:r>
      <w:r w:rsidR="008B7A7F" w:rsidRPr="008C3A21">
        <w:rPr>
          <w:sz w:val="18"/>
          <w:szCs w:val="24"/>
        </w:rPr>
        <w:t xml:space="preserve">2018 – </w:t>
      </w:r>
      <w:r w:rsidRPr="008C3A21">
        <w:rPr>
          <w:sz w:val="18"/>
          <w:szCs w:val="24"/>
        </w:rPr>
        <w:t xml:space="preserve">Oct </w:t>
      </w:r>
      <w:r w:rsidR="008B7A7F" w:rsidRPr="008C3A21">
        <w:rPr>
          <w:sz w:val="18"/>
          <w:szCs w:val="24"/>
        </w:rPr>
        <w:t>2020</w:t>
      </w:r>
    </w:p>
    <w:p w14:paraId="33AB4EAC" w14:textId="21C83077" w:rsidR="003D15B2" w:rsidRPr="008C3A21" w:rsidRDefault="003D15B2" w:rsidP="003D15B2">
      <w:pPr>
        <w:pStyle w:val="ListParagraph"/>
        <w:numPr>
          <w:ilvl w:val="0"/>
          <w:numId w:val="20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Designed motion graphics and explainer content supporting enterprise internal communications and technology awareness initiatives </w:t>
      </w:r>
    </w:p>
    <w:p w14:paraId="4DF5EAC9" w14:textId="08A73931" w:rsidR="003D15B2" w:rsidRPr="008C3A21" w:rsidRDefault="003D15B2" w:rsidP="003D15B2">
      <w:pPr>
        <w:pStyle w:val="ListParagraph"/>
        <w:numPr>
          <w:ilvl w:val="0"/>
          <w:numId w:val="20"/>
        </w:numPr>
        <w:rPr>
          <w:sz w:val="18"/>
          <w:szCs w:val="20"/>
        </w:rPr>
      </w:pPr>
      <w:r w:rsidRPr="008C3A21">
        <w:rPr>
          <w:sz w:val="18"/>
          <w:szCs w:val="20"/>
        </w:rPr>
        <w:t>Developed dashboard interface visuals</w:t>
      </w:r>
      <w:r w:rsidR="00CB2540" w:rsidRPr="008C3A21">
        <w:rPr>
          <w:sz w:val="18"/>
          <w:szCs w:val="20"/>
        </w:rPr>
        <w:t>,</w:t>
      </w:r>
      <w:r w:rsidRPr="008C3A21">
        <w:rPr>
          <w:sz w:val="18"/>
          <w:szCs w:val="20"/>
        </w:rPr>
        <w:t xml:space="preserve"> improving accessibility of data insights for business stakeholders </w:t>
      </w:r>
    </w:p>
    <w:p w14:paraId="135AD4EB" w14:textId="07BAF789" w:rsidR="007D1400" w:rsidRPr="008C3A21" w:rsidRDefault="003D15B2" w:rsidP="003D15B2">
      <w:pPr>
        <w:pStyle w:val="ListParagraph"/>
        <w:numPr>
          <w:ilvl w:val="0"/>
          <w:numId w:val="20"/>
        </w:numPr>
        <w:rPr>
          <w:sz w:val="18"/>
          <w:szCs w:val="20"/>
        </w:rPr>
      </w:pPr>
      <w:r w:rsidRPr="008C3A21">
        <w:rPr>
          <w:sz w:val="18"/>
          <w:szCs w:val="20"/>
        </w:rPr>
        <w:t>Contributed to multi-platform communication programs reaching large internal employee populations</w:t>
      </w:r>
    </w:p>
    <w:p w14:paraId="5DB221FE" w14:textId="6AA76159" w:rsidR="007D1400" w:rsidRPr="008C3A21" w:rsidRDefault="008B7A7F" w:rsidP="00733072">
      <w:pPr>
        <w:pStyle w:val="Heading3"/>
        <w:spacing w:after="0"/>
        <w:rPr>
          <w:rStyle w:val="Bold"/>
          <w:b/>
          <w:bCs/>
          <w:sz w:val="18"/>
          <w:szCs w:val="20"/>
        </w:rPr>
      </w:pPr>
      <w:r w:rsidRPr="008C3A21">
        <w:rPr>
          <w:sz w:val="18"/>
          <w:szCs w:val="20"/>
        </w:rPr>
        <w:t>Earlier Industrial Design &amp; Multimedia Roles</w:t>
      </w:r>
    </w:p>
    <w:p w14:paraId="15CF0769" w14:textId="1653E4C7" w:rsidR="007D1400" w:rsidRPr="008C3A21" w:rsidRDefault="008B7A7F" w:rsidP="00733072">
      <w:pPr>
        <w:pStyle w:val="Heading3"/>
        <w:spacing w:after="0"/>
        <w:rPr>
          <w:rStyle w:val="Bold"/>
          <w:sz w:val="18"/>
          <w:szCs w:val="20"/>
        </w:rPr>
      </w:pPr>
      <w:r w:rsidRPr="008C3A21">
        <w:rPr>
          <w:rStyle w:val="Bold"/>
          <w:sz w:val="18"/>
          <w:szCs w:val="20"/>
        </w:rPr>
        <w:t xml:space="preserve">BlueLine Rental (United </w:t>
      </w:r>
      <w:proofErr w:type="gramStart"/>
      <w:r w:rsidR="003D29BF" w:rsidRPr="008C3A21">
        <w:rPr>
          <w:rStyle w:val="Bold"/>
          <w:sz w:val="18"/>
          <w:szCs w:val="20"/>
        </w:rPr>
        <w:t>Rental)</w:t>
      </w:r>
      <w:r w:rsidR="00C02C7A" w:rsidRPr="008C3A21">
        <w:rPr>
          <w:rStyle w:val="Bold"/>
          <w:sz w:val="18"/>
          <w:szCs w:val="20"/>
        </w:rPr>
        <w:t xml:space="preserve"> ·</w:t>
      </w:r>
      <w:proofErr w:type="gramEnd"/>
      <w:r w:rsidR="00C02C7A" w:rsidRPr="008C3A21">
        <w:rPr>
          <w:rStyle w:val="Bold"/>
          <w:sz w:val="18"/>
          <w:szCs w:val="20"/>
        </w:rPr>
        <w:t xml:space="preserve"> </w:t>
      </w:r>
      <w:r w:rsidRPr="008C3A21">
        <w:rPr>
          <w:rStyle w:val="Bold"/>
          <w:sz w:val="18"/>
          <w:szCs w:val="20"/>
        </w:rPr>
        <w:t>National Oilwell Varco · Dorian Tool International · MediaFire</w:t>
      </w:r>
    </w:p>
    <w:p w14:paraId="425BFD78" w14:textId="6DE62D55" w:rsidR="007D1400" w:rsidRPr="008C3A21" w:rsidRDefault="00950479" w:rsidP="00733072">
      <w:pPr>
        <w:pStyle w:val="Heading2"/>
        <w:spacing w:line="240" w:lineRule="auto"/>
        <w:rPr>
          <w:rStyle w:val="Bold"/>
          <w:sz w:val="18"/>
          <w:szCs w:val="24"/>
        </w:rPr>
      </w:pPr>
      <w:r w:rsidRPr="008C3A21">
        <w:rPr>
          <w:sz w:val="18"/>
          <w:szCs w:val="24"/>
        </w:rPr>
        <w:t xml:space="preserve">Jun </w:t>
      </w:r>
      <w:r w:rsidR="008B7A7F" w:rsidRPr="008C3A21">
        <w:rPr>
          <w:sz w:val="18"/>
          <w:szCs w:val="24"/>
        </w:rPr>
        <w:t xml:space="preserve">2013 – </w:t>
      </w:r>
      <w:r w:rsidRPr="008C3A21">
        <w:rPr>
          <w:sz w:val="18"/>
          <w:szCs w:val="24"/>
        </w:rPr>
        <w:t xml:space="preserve">Jul </w:t>
      </w:r>
      <w:r w:rsidR="008B7A7F" w:rsidRPr="008C3A21">
        <w:rPr>
          <w:sz w:val="18"/>
          <w:szCs w:val="24"/>
        </w:rPr>
        <w:t>201</w:t>
      </w:r>
      <w:r w:rsidRPr="008C3A21">
        <w:rPr>
          <w:sz w:val="18"/>
          <w:szCs w:val="24"/>
        </w:rPr>
        <w:t>8</w:t>
      </w:r>
    </w:p>
    <w:p w14:paraId="169F9549" w14:textId="01066812" w:rsidR="003D15B2" w:rsidRPr="008C3A21" w:rsidRDefault="003D15B2" w:rsidP="003D15B2">
      <w:pPr>
        <w:pStyle w:val="ListParagraph"/>
        <w:numPr>
          <w:ilvl w:val="0"/>
          <w:numId w:val="22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Created technical visualizations, instructional graphics, and product renderings supporting equipment training and operational documentation </w:t>
      </w:r>
    </w:p>
    <w:p w14:paraId="032EDA94" w14:textId="2DAA2584" w:rsidR="003D15B2" w:rsidRPr="008C3A21" w:rsidRDefault="003D15B2" w:rsidP="003D15B2">
      <w:pPr>
        <w:pStyle w:val="ListParagraph"/>
        <w:numPr>
          <w:ilvl w:val="0"/>
          <w:numId w:val="22"/>
        </w:numPr>
        <w:rPr>
          <w:sz w:val="18"/>
          <w:szCs w:val="20"/>
        </w:rPr>
      </w:pPr>
      <w:r w:rsidRPr="008C3A21">
        <w:rPr>
          <w:sz w:val="18"/>
          <w:szCs w:val="20"/>
        </w:rPr>
        <w:t xml:space="preserve">Collaborated with engineering teams to improve clarity of technical information delivered to field employees </w:t>
      </w:r>
    </w:p>
    <w:p w14:paraId="2C5FF492" w14:textId="7ED9DD17" w:rsidR="00701DCC" w:rsidRPr="008C3A21" w:rsidRDefault="003D15B2" w:rsidP="003D15B2">
      <w:pPr>
        <w:pStyle w:val="ListParagraph"/>
        <w:numPr>
          <w:ilvl w:val="0"/>
          <w:numId w:val="22"/>
        </w:numPr>
        <w:rPr>
          <w:sz w:val="18"/>
          <w:szCs w:val="20"/>
        </w:rPr>
      </w:pPr>
      <w:r w:rsidRPr="008C3A21">
        <w:rPr>
          <w:sz w:val="18"/>
          <w:szCs w:val="20"/>
        </w:rPr>
        <w:t>Supported modernization of digital asset libraries and internal communication resources</w:t>
      </w:r>
    </w:p>
    <w:p w14:paraId="335EAAD7" w14:textId="77777777" w:rsidR="001E2574" w:rsidRPr="008C3A21" w:rsidRDefault="001E2574" w:rsidP="00733072">
      <w:pPr>
        <w:pStyle w:val="Heading1"/>
        <w:rPr>
          <w:rStyle w:val="Shade"/>
          <w:color w:val="4FBAD4"/>
          <w:sz w:val="28"/>
          <w:szCs w:val="28"/>
        </w:rPr>
      </w:pPr>
      <w:r w:rsidRPr="008C3A21">
        <w:rPr>
          <w:rStyle w:val="Shade"/>
          <w:color w:val="4FBAD4"/>
          <w:sz w:val="28"/>
          <w:szCs w:val="28"/>
          <w:shd w:val="clear" w:color="auto" w:fill="auto"/>
        </w:rPr>
        <w:t>Education</w:t>
      </w:r>
    </w:p>
    <w:p w14:paraId="4624694E" w14:textId="77777777" w:rsidR="00733072" w:rsidRPr="008C3A21" w:rsidRDefault="00733072" w:rsidP="00733072">
      <w:pPr>
        <w:rPr>
          <w:rFonts w:eastAsiaTheme="majorEastAsia" w:cstheme="majorBidi"/>
          <w:b/>
          <w:bCs/>
          <w:caps/>
          <w:sz w:val="18"/>
          <w:szCs w:val="24"/>
        </w:rPr>
        <w:sectPr w:rsidR="00733072" w:rsidRPr="008C3A21" w:rsidSect="001E152D">
          <w:type w:val="continuous"/>
          <w:pgSz w:w="12240" w:h="15840" w:code="1"/>
          <w:pgMar w:top="720" w:right="360" w:bottom="720" w:left="1080" w:header="576" w:footer="720" w:gutter="0"/>
          <w:cols w:space="720"/>
          <w:titlePg/>
          <w:docGrid w:linePitch="360"/>
        </w:sectPr>
      </w:pPr>
    </w:p>
    <w:p w14:paraId="2A98E12E" w14:textId="77777777" w:rsidR="007D1400" w:rsidRPr="008C3A21" w:rsidRDefault="007D1400" w:rsidP="00733072">
      <w:pPr>
        <w:rPr>
          <w:rFonts w:eastAsiaTheme="majorEastAsia" w:cstheme="majorBidi"/>
          <w:b/>
          <w:bCs/>
          <w:caps/>
          <w:sz w:val="18"/>
          <w:szCs w:val="24"/>
        </w:rPr>
      </w:pPr>
      <w:r w:rsidRPr="008C3A21">
        <w:rPr>
          <w:rFonts w:eastAsiaTheme="majorEastAsia" w:cstheme="majorBidi"/>
          <w:b/>
          <w:bCs/>
          <w:caps/>
          <w:sz w:val="18"/>
          <w:szCs w:val="24"/>
        </w:rPr>
        <w:t>Bachelor of Fine Arts — Computer Animation</w:t>
      </w:r>
      <w:r w:rsidRPr="008C3A21">
        <w:rPr>
          <w:rFonts w:eastAsiaTheme="majorEastAsia" w:cstheme="majorBidi"/>
          <w:b/>
          <w:bCs/>
          <w:caps/>
          <w:sz w:val="18"/>
          <w:szCs w:val="24"/>
        </w:rPr>
        <w:br/>
      </w:r>
      <w:r w:rsidRPr="008C3A21">
        <w:rPr>
          <w:rFonts w:eastAsiaTheme="majorEastAsia" w:cstheme="majorBidi"/>
          <w:caps/>
          <w:sz w:val="18"/>
          <w:szCs w:val="24"/>
        </w:rPr>
        <w:t>Sam Houston State University</w:t>
      </w:r>
    </w:p>
    <w:p w14:paraId="39082E1F" w14:textId="1869E70A" w:rsidR="007D1400" w:rsidRPr="008C3A21" w:rsidRDefault="007D1400" w:rsidP="00733072">
      <w:pPr>
        <w:rPr>
          <w:sz w:val="18"/>
          <w:szCs w:val="20"/>
        </w:rPr>
      </w:pPr>
      <w:r w:rsidRPr="008C3A21">
        <w:rPr>
          <w:rFonts w:eastAsiaTheme="majorEastAsia" w:cstheme="majorBidi"/>
          <w:b/>
          <w:bCs/>
          <w:caps/>
          <w:sz w:val="18"/>
          <w:szCs w:val="24"/>
        </w:rPr>
        <w:t>Associate of Arts — Graphic Design</w:t>
      </w:r>
      <w:r w:rsidRPr="008C3A21">
        <w:rPr>
          <w:rFonts w:eastAsiaTheme="majorEastAsia" w:cstheme="majorBidi"/>
          <w:b/>
          <w:bCs/>
          <w:caps/>
          <w:sz w:val="18"/>
          <w:szCs w:val="24"/>
        </w:rPr>
        <w:br/>
      </w:r>
      <w:r w:rsidR="00F40192">
        <w:rPr>
          <w:rFonts w:eastAsiaTheme="majorEastAsia" w:cstheme="majorBidi"/>
          <w:caps/>
          <w:sz w:val="18"/>
          <w:szCs w:val="24"/>
        </w:rPr>
        <w:t>Lone Star Community College Systems</w:t>
      </w:r>
    </w:p>
    <w:p w14:paraId="192BE807" w14:textId="77777777" w:rsidR="00733072" w:rsidRPr="008C3A21" w:rsidRDefault="00733072" w:rsidP="00733072">
      <w:pPr>
        <w:pStyle w:val="Heading1"/>
        <w:rPr>
          <w:rStyle w:val="Shade"/>
          <w:sz w:val="28"/>
          <w:szCs w:val="28"/>
          <w:shd w:val="clear" w:color="auto" w:fill="auto"/>
        </w:rPr>
        <w:sectPr w:rsidR="00733072" w:rsidRPr="008C3A21" w:rsidSect="00733072">
          <w:type w:val="continuous"/>
          <w:pgSz w:w="12240" w:h="15840" w:code="1"/>
          <w:pgMar w:top="720" w:right="360" w:bottom="720" w:left="1080" w:header="576" w:footer="720" w:gutter="0"/>
          <w:cols w:num="2" w:space="720"/>
          <w:titlePg/>
          <w:docGrid w:linePitch="360"/>
        </w:sectPr>
      </w:pPr>
    </w:p>
    <w:p w14:paraId="2867F39A" w14:textId="36C7C647" w:rsidR="001E152D" w:rsidRPr="008C3A21" w:rsidRDefault="00F63208" w:rsidP="00DC7FE0">
      <w:pPr>
        <w:pStyle w:val="Heading1"/>
        <w:spacing w:before="0"/>
        <w:rPr>
          <w:rStyle w:val="Shade"/>
          <w:color w:val="4FBAD4"/>
          <w:sz w:val="28"/>
          <w:szCs w:val="28"/>
        </w:rPr>
      </w:pPr>
      <w:r w:rsidRPr="008C3A21">
        <w:rPr>
          <w:rStyle w:val="Shade"/>
          <w:color w:val="4FBAD4"/>
          <w:sz w:val="28"/>
          <w:szCs w:val="28"/>
          <w:shd w:val="clear" w:color="auto" w:fill="auto"/>
        </w:rPr>
        <w:t>Technology Skills</w:t>
      </w:r>
    </w:p>
    <w:p w14:paraId="3F5BF720" w14:textId="77777777" w:rsidR="00733072" w:rsidRPr="008C3A21" w:rsidRDefault="00733072" w:rsidP="00733072">
      <w:pPr>
        <w:spacing w:after="0" w:line="240" w:lineRule="auto"/>
        <w:rPr>
          <w:b/>
          <w:bCs/>
          <w:sz w:val="18"/>
          <w:szCs w:val="20"/>
        </w:rPr>
        <w:sectPr w:rsidR="00733072" w:rsidRPr="008C3A21" w:rsidSect="001E152D">
          <w:type w:val="continuous"/>
          <w:pgSz w:w="12240" w:h="15840" w:code="1"/>
          <w:pgMar w:top="720" w:right="360" w:bottom="720" w:left="1080" w:header="576" w:footer="720" w:gutter="0"/>
          <w:cols w:space="720"/>
          <w:titlePg/>
          <w:docGrid w:linePitch="360"/>
        </w:sectPr>
      </w:pPr>
    </w:p>
    <w:p w14:paraId="65C8B5A2" w14:textId="77777777" w:rsidR="00F63208" w:rsidRPr="008C3A21" w:rsidRDefault="00F63208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Learning &amp; Authoring Tools</w:t>
      </w:r>
    </w:p>
    <w:p w14:paraId="5FECFF5C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Articulate Storyline, Rise 360, Adobe Captivate, LMS Platforms, SCORM</w:t>
      </w:r>
    </w:p>
    <w:p w14:paraId="220D61C3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</w:p>
    <w:p w14:paraId="766C3A8C" w14:textId="77777777" w:rsidR="00F63208" w:rsidRPr="008C3A21" w:rsidRDefault="00F63208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Design &amp; Multimedia</w:t>
      </w:r>
    </w:p>
    <w:p w14:paraId="26F3ED53" w14:textId="31E70651" w:rsidR="00F63208" w:rsidRPr="008C3A21" w:rsidRDefault="00F63208" w:rsidP="00733072">
      <w:p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Adobe Creative Cloud (Photoshop, Illustrator, InDesign, Premiere Pro, After Effects)</w:t>
      </w:r>
      <w:r w:rsidR="00733072" w:rsidRPr="008C3A21">
        <w:rPr>
          <w:sz w:val="18"/>
          <w:szCs w:val="20"/>
        </w:rPr>
        <w:t xml:space="preserve">, </w:t>
      </w:r>
      <w:r w:rsidRPr="008C3A21">
        <w:rPr>
          <w:sz w:val="18"/>
          <w:szCs w:val="20"/>
        </w:rPr>
        <w:t>Figma, Sketch</w:t>
      </w:r>
    </w:p>
    <w:p w14:paraId="76E460D1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</w:p>
    <w:p w14:paraId="32631FB2" w14:textId="77777777" w:rsidR="00F63208" w:rsidRPr="008C3A21" w:rsidRDefault="00F63208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AI &amp; Video Tools</w:t>
      </w:r>
    </w:p>
    <w:p w14:paraId="1FC3CD8D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  <w:proofErr w:type="spellStart"/>
      <w:r w:rsidRPr="008C3A21">
        <w:rPr>
          <w:sz w:val="18"/>
          <w:szCs w:val="20"/>
        </w:rPr>
        <w:t>WellSaid</w:t>
      </w:r>
      <w:proofErr w:type="spellEnd"/>
      <w:r w:rsidRPr="008C3A21">
        <w:rPr>
          <w:sz w:val="18"/>
          <w:szCs w:val="20"/>
        </w:rPr>
        <w:t xml:space="preserve"> AI, Vyond</w:t>
      </w:r>
    </w:p>
    <w:p w14:paraId="35B1648D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</w:p>
    <w:p w14:paraId="716B5641" w14:textId="77777777" w:rsidR="00F63208" w:rsidRPr="008C3A21" w:rsidRDefault="00F63208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Technical Visualization</w:t>
      </w:r>
    </w:p>
    <w:p w14:paraId="3DD8DE12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Autodesk Maya, 3DS Max, Inventor, SolidWorks</w:t>
      </w:r>
    </w:p>
    <w:p w14:paraId="43CC2617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</w:p>
    <w:p w14:paraId="09DE1A20" w14:textId="77777777" w:rsidR="00F63208" w:rsidRPr="008C3A21" w:rsidRDefault="00F63208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Web &amp; UX</w:t>
      </w:r>
    </w:p>
    <w:p w14:paraId="289CE1F8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HTML, CSS, JavaScript, SharePoint</w:t>
      </w:r>
    </w:p>
    <w:p w14:paraId="25959E3E" w14:textId="77777777" w:rsidR="00F63208" w:rsidRPr="008C3A21" w:rsidRDefault="00F63208" w:rsidP="00733072">
      <w:pPr>
        <w:spacing w:after="0" w:line="240" w:lineRule="auto"/>
        <w:rPr>
          <w:sz w:val="18"/>
          <w:szCs w:val="20"/>
        </w:rPr>
      </w:pPr>
    </w:p>
    <w:p w14:paraId="77E47E5F" w14:textId="77777777" w:rsidR="00F63208" w:rsidRPr="008C3A21" w:rsidRDefault="00F63208" w:rsidP="00733072">
      <w:pPr>
        <w:spacing w:after="0" w:line="240" w:lineRule="auto"/>
        <w:rPr>
          <w:b/>
          <w:bCs/>
          <w:sz w:val="18"/>
          <w:szCs w:val="20"/>
        </w:rPr>
      </w:pPr>
      <w:r w:rsidRPr="008C3A21">
        <w:rPr>
          <w:b/>
          <w:bCs/>
          <w:sz w:val="18"/>
          <w:szCs w:val="20"/>
        </w:rPr>
        <w:t>Project &amp; Collaboration Tools</w:t>
      </w:r>
    </w:p>
    <w:p w14:paraId="79D73049" w14:textId="7EFEA193" w:rsidR="008B7A7F" w:rsidRDefault="00F63208" w:rsidP="00733072">
      <w:pPr>
        <w:spacing w:after="0" w:line="240" w:lineRule="auto"/>
        <w:rPr>
          <w:sz w:val="18"/>
          <w:szCs w:val="20"/>
        </w:rPr>
      </w:pPr>
      <w:r w:rsidRPr="008C3A21">
        <w:rPr>
          <w:sz w:val="18"/>
          <w:szCs w:val="20"/>
        </w:rPr>
        <w:t>Jira, Asana, Monday.com, Basecamp, MS Teams</w:t>
      </w:r>
    </w:p>
    <w:p w14:paraId="1F8F0632" w14:textId="77777777" w:rsidR="000A37C0" w:rsidRDefault="000A37C0" w:rsidP="00733072">
      <w:pPr>
        <w:spacing w:after="0" w:line="240" w:lineRule="auto"/>
        <w:rPr>
          <w:sz w:val="18"/>
          <w:szCs w:val="20"/>
        </w:rPr>
      </w:pPr>
    </w:p>
    <w:p w14:paraId="22F5D2A3" w14:textId="77777777" w:rsidR="000A37C0" w:rsidRDefault="000A37C0" w:rsidP="00733072">
      <w:pPr>
        <w:spacing w:after="0" w:line="240" w:lineRule="auto"/>
        <w:rPr>
          <w:sz w:val="18"/>
          <w:szCs w:val="20"/>
        </w:rPr>
        <w:sectPr w:rsidR="000A37C0" w:rsidSect="000A37C0">
          <w:type w:val="continuous"/>
          <w:pgSz w:w="12240" w:h="15840" w:code="1"/>
          <w:pgMar w:top="720" w:right="360" w:bottom="720" w:left="1080" w:header="576" w:footer="720" w:gutter="0"/>
          <w:cols w:num="2" w:space="720"/>
          <w:titlePg/>
          <w:docGrid w:linePitch="360"/>
        </w:sectPr>
      </w:pPr>
    </w:p>
    <w:p w14:paraId="4BD3AD38" w14:textId="77777777" w:rsidR="000A37C0" w:rsidRDefault="000A37C0" w:rsidP="00733072">
      <w:pPr>
        <w:spacing w:after="0" w:line="240" w:lineRule="auto"/>
        <w:rPr>
          <w:sz w:val="18"/>
          <w:szCs w:val="20"/>
        </w:rPr>
      </w:pPr>
    </w:p>
    <w:p w14:paraId="7F01B42E" w14:textId="77777777" w:rsidR="000A37C0" w:rsidRDefault="000A37C0" w:rsidP="00733072">
      <w:pPr>
        <w:spacing w:after="0" w:line="240" w:lineRule="auto"/>
        <w:rPr>
          <w:sz w:val="18"/>
          <w:szCs w:val="20"/>
        </w:rPr>
      </w:pPr>
    </w:p>
    <w:p w14:paraId="284E8F48" w14:textId="77777777" w:rsidR="000A37C0" w:rsidRDefault="000A37C0" w:rsidP="00733072">
      <w:pPr>
        <w:spacing w:after="0" w:line="240" w:lineRule="auto"/>
        <w:rPr>
          <w:sz w:val="18"/>
          <w:szCs w:val="20"/>
        </w:rPr>
      </w:pPr>
    </w:p>
    <w:p w14:paraId="47BBAEA8" w14:textId="77777777" w:rsidR="000A37C0" w:rsidRPr="008C3A21" w:rsidRDefault="000A37C0" w:rsidP="00733072">
      <w:pPr>
        <w:spacing w:after="0" w:line="240" w:lineRule="auto"/>
        <w:rPr>
          <w:sz w:val="18"/>
          <w:szCs w:val="20"/>
        </w:rPr>
      </w:pPr>
    </w:p>
    <w:sectPr w:rsidR="000A37C0" w:rsidRPr="008C3A21" w:rsidSect="000A37C0">
      <w:type w:val="continuous"/>
      <w:pgSz w:w="12240" w:h="15840" w:code="1"/>
      <w:pgMar w:top="720" w:right="360" w:bottom="72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479D" w14:textId="77777777" w:rsidR="000C167D" w:rsidRDefault="000C167D" w:rsidP="00725803">
      <w:r>
        <w:separator/>
      </w:r>
    </w:p>
    <w:p w14:paraId="657F3D85" w14:textId="77777777" w:rsidR="000C167D" w:rsidRDefault="000C167D"/>
  </w:endnote>
  <w:endnote w:type="continuationSeparator" w:id="0">
    <w:p w14:paraId="77FD18CE" w14:textId="77777777" w:rsidR="000C167D" w:rsidRDefault="000C167D" w:rsidP="00725803">
      <w:r>
        <w:continuationSeparator/>
      </w:r>
    </w:p>
    <w:p w14:paraId="43AD7D90" w14:textId="77777777" w:rsidR="000C167D" w:rsidRDefault="000C167D"/>
  </w:endnote>
  <w:endnote w:type="continuationNotice" w:id="1">
    <w:p w14:paraId="0E96C2C6" w14:textId="77777777" w:rsidR="000C167D" w:rsidRDefault="000C167D"/>
    <w:p w14:paraId="48BAE3E5" w14:textId="77777777" w:rsidR="000C167D" w:rsidRDefault="000C1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2E41" w14:textId="77777777" w:rsidR="000C167D" w:rsidRDefault="000C167D" w:rsidP="00725803">
      <w:r>
        <w:separator/>
      </w:r>
    </w:p>
    <w:p w14:paraId="3CD165F4" w14:textId="77777777" w:rsidR="000C167D" w:rsidRDefault="000C167D"/>
  </w:footnote>
  <w:footnote w:type="continuationSeparator" w:id="0">
    <w:p w14:paraId="05DC02F2" w14:textId="77777777" w:rsidR="000C167D" w:rsidRDefault="000C167D" w:rsidP="00725803">
      <w:r>
        <w:continuationSeparator/>
      </w:r>
    </w:p>
    <w:p w14:paraId="6469A4F3" w14:textId="77777777" w:rsidR="000C167D" w:rsidRDefault="000C167D"/>
  </w:footnote>
  <w:footnote w:type="continuationNotice" w:id="1">
    <w:p w14:paraId="00BAFE8B" w14:textId="77777777" w:rsidR="000C167D" w:rsidRDefault="000C167D"/>
    <w:p w14:paraId="20C3D0E5" w14:textId="77777777" w:rsidR="000C167D" w:rsidRDefault="000C1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A0196F"/>
    <w:multiLevelType w:val="hybridMultilevel"/>
    <w:tmpl w:val="DB74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875D8"/>
    <w:multiLevelType w:val="hybridMultilevel"/>
    <w:tmpl w:val="7B74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A6"/>
    <w:multiLevelType w:val="multilevel"/>
    <w:tmpl w:val="885C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61D59"/>
    <w:multiLevelType w:val="hybridMultilevel"/>
    <w:tmpl w:val="1EE8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65789"/>
    <w:multiLevelType w:val="hybridMultilevel"/>
    <w:tmpl w:val="F73A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1594"/>
    <w:multiLevelType w:val="hybridMultilevel"/>
    <w:tmpl w:val="00E8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35236"/>
    <w:multiLevelType w:val="hybridMultilevel"/>
    <w:tmpl w:val="69D6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7A11FB6"/>
    <w:multiLevelType w:val="hybridMultilevel"/>
    <w:tmpl w:val="6A9E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39F9"/>
    <w:multiLevelType w:val="hybridMultilevel"/>
    <w:tmpl w:val="73CE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B2524"/>
    <w:multiLevelType w:val="hybridMultilevel"/>
    <w:tmpl w:val="364A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37299"/>
    <w:multiLevelType w:val="hybridMultilevel"/>
    <w:tmpl w:val="49E2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5269A"/>
    <w:multiLevelType w:val="hybridMultilevel"/>
    <w:tmpl w:val="26CC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16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7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1331061105">
    <w:abstractNumId w:val="21"/>
  </w:num>
  <w:num w:numId="14" w16cid:durableId="1647658265">
    <w:abstractNumId w:val="9"/>
  </w:num>
  <w:num w:numId="15" w16cid:durableId="481822544">
    <w:abstractNumId w:val="12"/>
  </w:num>
  <w:num w:numId="16" w16cid:durableId="1401370512">
    <w:abstractNumId w:val="19"/>
  </w:num>
  <w:num w:numId="17" w16cid:durableId="1214780080">
    <w:abstractNumId w:val="10"/>
  </w:num>
  <w:num w:numId="18" w16cid:durableId="1762868350">
    <w:abstractNumId w:val="22"/>
  </w:num>
  <w:num w:numId="19" w16cid:durableId="1457524771">
    <w:abstractNumId w:val="20"/>
  </w:num>
  <w:num w:numId="20" w16cid:durableId="526914391">
    <w:abstractNumId w:val="15"/>
  </w:num>
  <w:num w:numId="21" w16cid:durableId="1412504251">
    <w:abstractNumId w:val="14"/>
  </w:num>
  <w:num w:numId="22" w16cid:durableId="1997297064">
    <w:abstractNumId w:val="18"/>
  </w:num>
  <w:num w:numId="23" w16cid:durableId="1370911657">
    <w:abstractNumId w:val="11"/>
  </w:num>
  <w:num w:numId="24" w16cid:durableId="1602683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2D"/>
    <w:rsid w:val="00012B5D"/>
    <w:rsid w:val="00025E77"/>
    <w:rsid w:val="00027312"/>
    <w:rsid w:val="0004376A"/>
    <w:rsid w:val="00061AE7"/>
    <w:rsid w:val="000645F2"/>
    <w:rsid w:val="00067AE4"/>
    <w:rsid w:val="00082F03"/>
    <w:rsid w:val="000835A0"/>
    <w:rsid w:val="000934A2"/>
    <w:rsid w:val="000A37C0"/>
    <w:rsid w:val="000B32D7"/>
    <w:rsid w:val="000C167D"/>
    <w:rsid w:val="0011313E"/>
    <w:rsid w:val="00135434"/>
    <w:rsid w:val="00144D98"/>
    <w:rsid w:val="00151825"/>
    <w:rsid w:val="001773C8"/>
    <w:rsid w:val="0019760E"/>
    <w:rsid w:val="001A1E15"/>
    <w:rsid w:val="001B0955"/>
    <w:rsid w:val="001B1AA2"/>
    <w:rsid w:val="001B55A6"/>
    <w:rsid w:val="001B7692"/>
    <w:rsid w:val="001C17AE"/>
    <w:rsid w:val="001E152D"/>
    <w:rsid w:val="001E2574"/>
    <w:rsid w:val="001F2AD8"/>
    <w:rsid w:val="001F5B48"/>
    <w:rsid w:val="00200FBD"/>
    <w:rsid w:val="00227784"/>
    <w:rsid w:val="0023705D"/>
    <w:rsid w:val="00241C27"/>
    <w:rsid w:val="00250277"/>
    <w:rsid w:val="00250A31"/>
    <w:rsid w:val="00251C13"/>
    <w:rsid w:val="002528F9"/>
    <w:rsid w:val="002534A5"/>
    <w:rsid w:val="00285746"/>
    <w:rsid w:val="002922D0"/>
    <w:rsid w:val="002C367E"/>
    <w:rsid w:val="003066A6"/>
    <w:rsid w:val="003275BF"/>
    <w:rsid w:val="00335CA6"/>
    <w:rsid w:val="00340B03"/>
    <w:rsid w:val="00364128"/>
    <w:rsid w:val="0037576A"/>
    <w:rsid w:val="00380AE7"/>
    <w:rsid w:val="00382D97"/>
    <w:rsid w:val="003902F1"/>
    <w:rsid w:val="003A6943"/>
    <w:rsid w:val="003A6C8C"/>
    <w:rsid w:val="003B0679"/>
    <w:rsid w:val="003C7748"/>
    <w:rsid w:val="003D15B2"/>
    <w:rsid w:val="003D29BF"/>
    <w:rsid w:val="003D56ED"/>
    <w:rsid w:val="003E473C"/>
    <w:rsid w:val="003F5749"/>
    <w:rsid w:val="004032CC"/>
    <w:rsid w:val="00410BA2"/>
    <w:rsid w:val="00434074"/>
    <w:rsid w:val="00437DBC"/>
    <w:rsid w:val="004400F4"/>
    <w:rsid w:val="0046391B"/>
    <w:rsid w:val="00463C3B"/>
    <w:rsid w:val="00484BB4"/>
    <w:rsid w:val="004937AE"/>
    <w:rsid w:val="004C5EE9"/>
    <w:rsid w:val="004D1B48"/>
    <w:rsid w:val="004D1F49"/>
    <w:rsid w:val="004E2970"/>
    <w:rsid w:val="004E73C8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6C45"/>
    <w:rsid w:val="005C71B0"/>
    <w:rsid w:val="005F3341"/>
    <w:rsid w:val="00607AA3"/>
    <w:rsid w:val="00611B37"/>
    <w:rsid w:val="006252B4"/>
    <w:rsid w:val="00643BE8"/>
    <w:rsid w:val="00646BA2"/>
    <w:rsid w:val="0065054B"/>
    <w:rsid w:val="00675EA0"/>
    <w:rsid w:val="00687E55"/>
    <w:rsid w:val="006C08A0"/>
    <w:rsid w:val="006C47D8"/>
    <w:rsid w:val="006D2D08"/>
    <w:rsid w:val="006D5F93"/>
    <w:rsid w:val="006D6779"/>
    <w:rsid w:val="006E0FF6"/>
    <w:rsid w:val="006E190C"/>
    <w:rsid w:val="006F26A2"/>
    <w:rsid w:val="00701DCC"/>
    <w:rsid w:val="0070237E"/>
    <w:rsid w:val="00725803"/>
    <w:rsid w:val="00725CB5"/>
    <w:rsid w:val="007307A3"/>
    <w:rsid w:val="00733072"/>
    <w:rsid w:val="00741C7E"/>
    <w:rsid w:val="00752315"/>
    <w:rsid w:val="00755741"/>
    <w:rsid w:val="0075629E"/>
    <w:rsid w:val="00760C18"/>
    <w:rsid w:val="00762BD8"/>
    <w:rsid w:val="00766B3E"/>
    <w:rsid w:val="007A4EE3"/>
    <w:rsid w:val="007C211F"/>
    <w:rsid w:val="007C26CB"/>
    <w:rsid w:val="007D1400"/>
    <w:rsid w:val="007D4E28"/>
    <w:rsid w:val="007D5ED3"/>
    <w:rsid w:val="007E705E"/>
    <w:rsid w:val="007F3012"/>
    <w:rsid w:val="00824162"/>
    <w:rsid w:val="00857E6B"/>
    <w:rsid w:val="008662C3"/>
    <w:rsid w:val="00873709"/>
    <w:rsid w:val="008942F3"/>
    <w:rsid w:val="00895611"/>
    <w:rsid w:val="008968C4"/>
    <w:rsid w:val="008A0CA0"/>
    <w:rsid w:val="008B7A7F"/>
    <w:rsid w:val="008C3A21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0479"/>
    <w:rsid w:val="0095272C"/>
    <w:rsid w:val="00972024"/>
    <w:rsid w:val="009957F4"/>
    <w:rsid w:val="009C1913"/>
    <w:rsid w:val="009C5980"/>
    <w:rsid w:val="009F04D2"/>
    <w:rsid w:val="009F2BA7"/>
    <w:rsid w:val="009F6DA0"/>
    <w:rsid w:val="00A01182"/>
    <w:rsid w:val="00A06309"/>
    <w:rsid w:val="00A12AF4"/>
    <w:rsid w:val="00A16958"/>
    <w:rsid w:val="00A42C49"/>
    <w:rsid w:val="00A9438D"/>
    <w:rsid w:val="00AA3BDC"/>
    <w:rsid w:val="00AD13CB"/>
    <w:rsid w:val="00AD3FD8"/>
    <w:rsid w:val="00AE5CFE"/>
    <w:rsid w:val="00B04D2E"/>
    <w:rsid w:val="00B07A21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87985"/>
    <w:rsid w:val="00BB7FEC"/>
    <w:rsid w:val="00BC7376"/>
    <w:rsid w:val="00BD669A"/>
    <w:rsid w:val="00BE3913"/>
    <w:rsid w:val="00BF61CD"/>
    <w:rsid w:val="00BF65E6"/>
    <w:rsid w:val="00C02C7A"/>
    <w:rsid w:val="00C13F2B"/>
    <w:rsid w:val="00C23DE3"/>
    <w:rsid w:val="00C43D65"/>
    <w:rsid w:val="00C84833"/>
    <w:rsid w:val="00C9044F"/>
    <w:rsid w:val="00C92F94"/>
    <w:rsid w:val="00CA259E"/>
    <w:rsid w:val="00CB2540"/>
    <w:rsid w:val="00CD3F4F"/>
    <w:rsid w:val="00CE22C4"/>
    <w:rsid w:val="00CE4539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C7FE0"/>
    <w:rsid w:val="00DE59DB"/>
    <w:rsid w:val="00DF21E3"/>
    <w:rsid w:val="00DF7130"/>
    <w:rsid w:val="00E03F71"/>
    <w:rsid w:val="00E0555C"/>
    <w:rsid w:val="00E0633D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2574A"/>
    <w:rsid w:val="00F33CD8"/>
    <w:rsid w:val="00F37CFE"/>
    <w:rsid w:val="00F40192"/>
    <w:rsid w:val="00F439C9"/>
    <w:rsid w:val="00F63208"/>
    <w:rsid w:val="00F8078C"/>
    <w:rsid w:val="00FA3A76"/>
    <w:rsid w:val="00FB113E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85D41"/>
  <w15:chartTrackingRefBased/>
  <w15:docId w15:val="{673559C8-120E-442F-A7DB-EA47662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2D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  <w:style w:type="character" w:styleId="UnresolvedMention">
    <w:name w:val="Unresolved Mention"/>
    <w:basedOn w:val="DefaultParagraphFont"/>
    <w:uiPriority w:val="99"/>
    <w:semiHidden/>
    <w:unhideWhenUsed/>
    <w:rsid w:val="0040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guerin-portfolio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\AppData\Roaming\Microsoft\Templates\ATS%20clas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752862-61BA-4B5E-A96A-86EE3BBC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</Template>
  <TotalTime>15</TotalTime>
  <Pages>2</Pages>
  <Words>640</Words>
  <Characters>4780</Characters>
  <Application>Microsoft Office Word</Application>
  <DocSecurity>0</DocSecurity>
  <Lines>115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Guerin</dc:creator>
  <cp:keywords/>
  <dc:description/>
  <cp:lastModifiedBy>Alexandra Guerin</cp:lastModifiedBy>
  <cp:revision>11</cp:revision>
  <cp:lastPrinted>2026-03-25T22:56:00Z</cp:lastPrinted>
  <dcterms:created xsi:type="dcterms:W3CDTF">2026-04-14T19:52:00Z</dcterms:created>
  <dcterms:modified xsi:type="dcterms:W3CDTF">2026-04-14T20:10:00Z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5486723b-6a8b-479c-afc8-343bf97796c7</vt:lpwstr>
  </property>
</Properties>
</file>